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4E47A2" w14:textId="6D443620" w:rsidR="00AB3E39" w:rsidRPr="005D5688" w:rsidRDefault="005D5688" w:rsidP="005103E4">
      <w:pPr>
        <w:keepNext/>
        <w:rPr>
          <w:rFonts w:ascii="Times New Roman" w:hAnsi="Times New Roman" w:cs="Times New Roman"/>
          <w:b/>
          <w:bCs/>
          <w:sz w:val="24"/>
          <w:szCs w:val="24"/>
          <w:lang w:val="en-GB"/>
        </w:rPr>
      </w:pPr>
      <w:r w:rsidRPr="005D5688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Appendix C: </w:t>
      </w:r>
      <w:r w:rsidR="00AB3E39" w:rsidRPr="005D5688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Number of </w:t>
      </w:r>
      <w:r w:rsidR="00140428" w:rsidRPr="005D5688">
        <w:rPr>
          <w:rFonts w:ascii="Times New Roman" w:hAnsi="Times New Roman" w:cs="Times New Roman"/>
          <w:b/>
          <w:bCs/>
          <w:sz w:val="24"/>
          <w:szCs w:val="24"/>
          <w:lang w:val="en-GB"/>
        </w:rPr>
        <w:t>taxa</w:t>
      </w:r>
      <w:r w:rsidR="00AB3E39" w:rsidRPr="005D5688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researched per year between 1999 and </w:t>
      </w:r>
      <w:r w:rsidR="002F7069" w:rsidRPr="005D5688">
        <w:rPr>
          <w:rFonts w:ascii="Times New Roman" w:hAnsi="Times New Roman" w:cs="Times New Roman"/>
          <w:b/>
          <w:bCs/>
          <w:sz w:val="24"/>
          <w:szCs w:val="24"/>
          <w:lang w:val="en-GB"/>
        </w:rPr>
        <w:t>2019</w:t>
      </w:r>
      <w:r w:rsidR="001C7EDA" w:rsidRPr="005D5688">
        <w:rPr>
          <w:rFonts w:ascii="Times New Roman" w:hAnsi="Times New Roman" w:cs="Times New Roman"/>
          <w:b/>
          <w:bCs/>
          <w:sz w:val="24"/>
          <w:szCs w:val="24"/>
          <w:lang w:val="en-GB"/>
        </w:rPr>
        <w:t>.</w:t>
      </w:r>
    </w:p>
    <w:p w14:paraId="46C8B6B4" w14:textId="26DA2FC0" w:rsidR="00E722B9" w:rsidRPr="001C7EDA" w:rsidRDefault="002F7069" w:rsidP="00E722B9">
      <w:pPr>
        <w:keepNext/>
        <w:rPr>
          <w:rFonts w:ascii="Times New Roman" w:hAnsi="Times New Roman" w:cs="Times New Roman"/>
        </w:rPr>
      </w:pPr>
      <w:bookmarkStart w:id="0" w:name="OLE_LINK1"/>
      <w:r w:rsidRPr="001C7EDA">
        <w:rPr>
          <w:rFonts w:ascii="Times New Roman" w:hAnsi="Times New Roman" w:cs="Times New Roman"/>
          <w:noProof/>
          <w:lang w:eastAsia="en-AU"/>
        </w:rPr>
        <w:drawing>
          <wp:inline distT="0" distB="0" distL="0" distR="0" wp14:anchorId="1B669478" wp14:editId="3941F4EC">
            <wp:extent cx="5731510" cy="2442210"/>
            <wp:effectExtent l="0" t="0" r="2540" b="15240"/>
            <wp:docPr id="1" name="Chart 1">
              <a:extLst xmlns:a="http://schemas.openxmlformats.org/drawingml/2006/main">
                <a:ext uri="{FF2B5EF4-FFF2-40B4-BE49-F238E27FC236}">
                  <a16:creationId xmlns:a16="http://schemas.microsoft.com/office/drawing/2014/main" id="{4BD7CBC9-5AF9-E34E-8E51-63216E8D0A01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14:paraId="56983162" w14:textId="2A66C392" w:rsidR="0047241B" w:rsidRPr="001C7EDA" w:rsidRDefault="00E722B9" w:rsidP="005D5688">
      <w:pPr>
        <w:pStyle w:val="Caption"/>
        <w:rPr>
          <w:rFonts w:ascii="Times New Roman" w:hAnsi="Times New Roman" w:cs="Times New Roman"/>
          <w:b/>
        </w:rPr>
      </w:pPr>
      <w:r w:rsidRPr="005D5688">
        <w:rPr>
          <w:rFonts w:ascii="Times New Roman" w:hAnsi="Times New Roman" w:cs="Times New Roman"/>
          <w:b/>
          <w:bCs/>
          <w:i w:val="0"/>
          <w:iCs w:val="0"/>
          <w:color w:val="auto"/>
          <w:sz w:val="22"/>
          <w:szCs w:val="22"/>
        </w:rPr>
        <w:t>Fig</w:t>
      </w:r>
      <w:r w:rsidR="005D5688" w:rsidRPr="005D5688">
        <w:rPr>
          <w:rFonts w:ascii="Times New Roman" w:hAnsi="Times New Roman" w:cs="Times New Roman"/>
          <w:b/>
          <w:bCs/>
          <w:i w:val="0"/>
          <w:iCs w:val="0"/>
          <w:color w:val="auto"/>
          <w:sz w:val="22"/>
          <w:szCs w:val="22"/>
        </w:rPr>
        <w:t>. C1</w:t>
      </w:r>
      <w:r w:rsidRPr="001C7EDA">
        <w:rPr>
          <w:rFonts w:ascii="Times New Roman" w:hAnsi="Times New Roman" w:cs="Times New Roman"/>
          <w:i w:val="0"/>
          <w:iCs w:val="0"/>
          <w:color w:val="auto"/>
          <w:sz w:val="22"/>
          <w:szCs w:val="22"/>
        </w:rPr>
        <w:t>. The number of new species that have been the focus of genetic, DART TOFMS</w:t>
      </w:r>
      <w:r w:rsidR="002F7069" w:rsidRPr="001C7EDA">
        <w:rPr>
          <w:rFonts w:ascii="Times New Roman" w:hAnsi="Times New Roman" w:cs="Times New Roman"/>
          <w:i w:val="0"/>
          <w:iCs w:val="0"/>
          <w:color w:val="auto"/>
          <w:sz w:val="22"/>
          <w:szCs w:val="22"/>
        </w:rPr>
        <w:t>, NIRS</w:t>
      </w:r>
      <w:r w:rsidRPr="001C7EDA">
        <w:rPr>
          <w:rFonts w:ascii="Times New Roman" w:hAnsi="Times New Roman" w:cs="Times New Roman"/>
          <w:i w:val="0"/>
          <w:iCs w:val="0"/>
          <w:color w:val="auto"/>
          <w:sz w:val="22"/>
          <w:szCs w:val="22"/>
        </w:rPr>
        <w:t xml:space="preserve"> and/or stable isotope studies published between 1999 and </w:t>
      </w:r>
      <w:r w:rsidR="002F7069" w:rsidRPr="001C7EDA">
        <w:rPr>
          <w:rFonts w:ascii="Times New Roman" w:hAnsi="Times New Roman" w:cs="Times New Roman"/>
          <w:i w:val="0"/>
          <w:iCs w:val="0"/>
          <w:color w:val="auto"/>
          <w:sz w:val="22"/>
          <w:szCs w:val="22"/>
        </w:rPr>
        <w:t>2021</w:t>
      </w:r>
      <w:r w:rsidRPr="001C7EDA">
        <w:rPr>
          <w:rFonts w:ascii="Times New Roman" w:hAnsi="Times New Roman" w:cs="Times New Roman"/>
          <w:i w:val="0"/>
          <w:iCs w:val="0"/>
          <w:color w:val="auto"/>
          <w:sz w:val="22"/>
          <w:szCs w:val="22"/>
        </w:rPr>
        <w:t xml:space="preserve"> whose results are relevant to the deter</w:t>
      </w:r>
      <w:r w:rsidR="00981973" w:rsidRPr="001C7EDA">
        <w:rPr>
          <w:rFonts w:ascii="Times New Roman" w:hAnsi="Times New Roman" w:cs="Times New Roman"/>
          <w:i w:val="0"/>
          <w:iCs w:val="0"/>
          <w:color w:val="auto"/>
          <w:sz w:val="22"/>
          <w:szCs w:val="22"/>
        </w:rPr>
        <w:t>mination of geographical origin</w:t>
      </w:r>
      <w:r w:rsidR="001C7EDA">
        <w:rPr>
          <w:rFonts w:ascii="Times New Roman" w:hAnsi="Times New Roman" w:cs="Times New Roman"/>
          <w:i w:val="0"/>
          <w:iCs w:val="0"/>
          <w:color w:val="auto"/>
          <w:sz w:val="22"/>
          <w:szCs w:val="22"/>
        </w:rPr>
        <w:t>.</w:t>
      </w:r>
      <w:bookmarkEnd w:id="0"/>
    </w:p>
    <w:sectPr w:rsidR="0047241B" w:rsidRPr="001C7EDA"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1E0DD5" w14:textId="77777777" w:rsidR="00AB3E39" w:rsidRDefault="00AB3E39" w:rsidP="00AB3E39">
      <w:pPr>
        <w:spacing w:after="0" w:line="240" w:lineRule="auto"/>
      </w:pPr>
      <w:r>
        <w:separator/>
      </w:r>
    </w:p>
  </w:endnote>
  <w:endnote w:type="continuationSeparator" w:id="0">
    <w:p w14:paraId="09E5E819" w14:textId="77777777" w:rsidR="00AB3E39" w:rsidRDefault="00AB3E39" w:rsidP="00AB3E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3011532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D5CD686" w14:textId="7A6AA197" w:rsidR="00AB3E39" w:rsidRDefault="00AB3E39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40428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5AF96D31" w14:textId="77777777" w:rsidR="00AB3E39" w:rsidRDefault="00AB3E3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6DA721" w14:textId="77777777" w:rsidR="00AB3E39" w:rsidRDefault="00AB3E39" w:rsidP="00AB3E39">
      <w:pPr>
        <w:spacing w:after="0" w:line="240" w:lineRule="auto"/>
      </w:pPr>
      <w:r>
        <w:separator/>
      </w:r>
    </w:p>
  </w:footnote>
  <w:footnote w:type="continuationSeparator" w:id="0">
    <w:p w14:paraId="003BED7D" w14:textId="77777777" w:rsidR="00AB3E39" w:rsidRDefault="00AB3E39" w:rsidP="00AB3E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DD74E6"/>
    <w:multiLevelType w:val="hybridMultilevel"/>
    <w:tmpl w:val="B6846FB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C443DB"/>
    <w:multiLevelType w:val="multilevel"/>
    <w:tmpl w:val="8DF6C26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790F16C2"/>
    <w:multiLevelType w:val="hybridMultilevel"/>
    <w:tmpl w:val="8ACC1C16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MDQ3MjQyszQzNzQ1NDRQ0lEKTi0uzszPAykwrAUASGAysCwAAAA="/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Global Environ Change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ve9axzstivzt2wezvanp5ddzf2sa5vzxsr5e&quot;&gt;Melita EndNote Library&lt;record-ids&gt;&lt;item&gt;11793&lt;/item&gt;&lt;item&gt;12347&lt;/item&gt;&lt;item&gt;12406&lt;/item&gt;&lt;/record-ids&gt;&lt;/item&gt;&lt;/Libraries&gt;"/>
  </w:docVars>
  <w:rsids>
    <w:rsidRoot w:val="00A2036D"/>
    <w:rsid w:val="00021072"/>
    <w:rsid w:val="00041F1B"/>
    <w:rsid w:val="000706F3"/>
    <w:rsid w:val="00074DC4"/>
    <w:rsid w:val="000E598A"/>
    <w:rsid w:val="00122919"/>
    <w:rsid w:val="00123603"/>
    <w:rsid w:val="00140428"/>
    <w:rsid w:val="001C7EDA"/>
    <w:rsid w:val="002D76FE"/>
    <w:rsid w:val="002E5334"/>
    <w:rsid w:val="002F7069"/>
    <w:rsid w:val="00327B3A"/>
    <w:rsid w:val="00337B39"/>
    <w:rsid w:val="003806A3"/>
    <w:rsid w:val="0038092F"/>
    <w:rsid w:val="003B5B61"/>
    <w:rsid w:val="0047241B"/>
    <w:rsid w:val="0049308D"/>
    <w:rsid w:val="004D620A"/>
    <w:rsid w:val="004D6592"/>
    <w:rsid w:val="005103E4"/>
    <w:rsid w:val="005159FC"/>
    <w:rsid w:val="005D5688"/>
    <w:rsid w:val="005F704A"/>
    <w:rsid w:val="00664D78"/>
    <w:rsid w:val="006F5EED"/>
    <w:rsid w:val="006F66D6"/>
    <w:rsid w:val="00712D35"/>
    <w:rsid w:val="007A70A8"/>
    <w:rsid w:val="007B25F9"/>
    <w:rsid w:val="007C063C"/>
    <w:rsid w:val="007D7AFE"/>
    <w:rsid w:val="007E2446"/>
    <w:rsid w:val="007F75A5"/>
    <w:rsid w:val="0085516A"/>
    <w:rsid w:val="008C258D"/>
    <w:rsid w:val="008C4ED6"/>
    <w:rsid w:val="008E5982"/>
    <w:rsid w:val="00912840"/>
    <w:rsid w:val="00931935"/>
    <w:rsid w:val="00981973"/>
    <w:rsid w:val="009942EC"/>
    <w:rsid w:val="009B76A7"/>
    <w:rsid w:val="009D2925"/>
    <w:rsid w:val="009E69AB"/>
    <w:rsid w:val="00A2036D"/>
    <w:rsid w:val="00A56D66"/>
    <w:rsid w:val="00A574E5"/>
    <w:rsid w:val="00AB3E39"/>
    <w:rsid w:val="00AB5F4B"/>
    <w:rsid w:val="00AD1BF0"/>
    <w:rsid w:val="00B658D1"/>
    <w:rsid w:val="00B66D24"/>
    <w:rsid w:val="00BC3474"/>
    <w:rsid w:val="00BD7EF6"/>
    <w:rsid w:val="00D1416D"/>
    <w:rsid w:val="00D70609"/>
    <w:rsid w:val="00D97E8D"/>
    <w:rsid w:val="00DA2DCE"/>
    <w:rsid w:val="00DA3F98"/>
    <w:rsid w:val="00E03489"/>
    <w:rsid w:val="00E3371E"/>
    <w:rsid w:val="00E722B9"/>
    <w:rsid w:val="00EB2E4B"/>
    <w:rsid w:val="00ED1277"/>
    <w:rsid w:val="00F03BC8"/>
    <w:rsid w:val="00F1783B"/>
    <w:rsid w:val="00F2328F"/>
    <w:rsid w:val="00F51F65"/>
    <w:rsid w:val="00F86CD2"/>
    <w:rsid w:val="00FE58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C4B46F"/>
  <w15:chartTrackingRefBased/>
  <w15:docId w15:val="{475A2A39-EFB3-4865-9B80-EEEC7A8C19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2036D"/>
    <w:rPr>
      <w:rFonts w:eastAsiaTheme="minorEastAsia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2036D"/>
    <w:pPr>
      <w:spacing w:before="100" w:after="100" w:line="240" w:lineRule="auto"/>
    </w:pPr>
    <w:rPr>
      <w:rFonts w:eastAsiaTheme="minorEastAsia"/>
      <w:sz w:val="20"/>
      <w:szCs w:val="20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basedOn w:val="Normal"/>
    <w:next w:val="Normal"/>
    <w:uiPriority w:val="35"/>
    <w:unhideWhenUsed/>
    <w:qFormat/>
    <w:rsid w:val="00A2036D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Paragraph">
    <w:name w:val="List Paragraph"/>
    <w:basedOn w:val="Normal"/>
    <w:uiPriority w:val="34"/>
    <w:qFormat/>
    <w:rsid w:val="004D620A"/>
    <w:pPr>
      <w:ind w:left="720"/>
      <w:contextualSpacing/>
    </w:pPr>
  </w:style>
  <w:style w:type="paragraph" w:customStyle="1" w:styleId="EndNoteBibliographyTitle">
    <w:name w:val="EndNote Bibliography Title"/>
    <w:basedOn w:val="Normal"/>
    <w:link w:val="EndNoteBibliographyTitleChar"/>
    <w:rsid w:val="007D7AFE"/>
    <w:pPr>
      <w:spacing w:after="0"/>
      <w:jc w:val="center"/>
    </w:pPr>
    <w:rPr>
      <w:rFonts w:ascii="Calibri" w:hAnsi="Calibri"/>
      <w:noProof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7D7AFE"/>
    <w:rPr>
      <w:rFonts w:ascii="Calibri" w:eastAsiaTheme="minorEastAsia" w:hAnsi="Calibri"/>
      <w:noProof/>
      <w:lang w:eastAsia="zh-CN"/>
    </w:rPr>
  </w:style>
  <w:style w:type="paragraph" w:customStyle="1" w:styleId="EndNoteBibliography">
    <w:name w:val="EndNote Bibliography"/>
    <w:basedOn w:val="Normal"/>
    <w:link w:val="EndNoteBibliographyChar"/>
    <w:rsid w:val="007D7AFE"/>
    <w:pPr>
      <w:spacing w:line="240" w:lineRule="auto"/>
    </w:pPr>
    <w:rPr>
      <w:rFonts w:ascii="Calibri" w:hAnsi="Calibri"/>
      <w:noProof/>
    </w:rPr>
  </w:style>
  <w:style w:type="character" w:customStyle="1" w:styleId="EndNoteBibliographyChar">
    <w:name w:val="EndNote Bibliography Char"/>
    <w:basedOn w:val="DefaultParagraphFont"/>
    <w:link w:val="EndNoteBibliography"/>
    <w:rsid w:val="007D7AFE"/>
    <w:rPr>
      <w:rFonts w:ascii="Calibri" w:eastAsiaTheme="minorEastAsia" w:hAnsi="Calibri"/>
      <w:noProof/>
      <w:lang w:eastAsia="zh-CN"/>
    </w:rPr>
  </w:style>
  <w:style w:type="character" w:styleId="Hyperlink">
    <w:name w:val="Hyperlink"/>
    <w:basedOn w:val="DefaultParagraphFont"/>
    <w:uiPriority w:val="99"/>
    <w:unhideWhenUsed/>
    <w:rsid w:val="007D7AFE"/>
    <w:rPr>
      <w:color w:val="0563C1" w:themeColor="hyperlink"/>
      <w:u w:val="single"/>
    </w:rPr>
  </w:style>
  <w:style w:type="paragraph" w:styleId="CommentText">
    <w:name w:val="annotation text"/>
    <w:basedOn w:val="Normal"/>
    <w:link w:val="CommentTextChar"/>
    <w:uiPriority w:val="99"/>
    <w:unhideWhenUsed/>
    <w:rsid w:val="0085516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5516A"/>
    <w:rPr>
      <w:rFonts w:eastAsiaTheme="minorEastAsia"/>
      <w:sz w:val="20"/>
      <w:szCs w:val="20"/>
      <w:lang w:eastAsia="zh-CN"/>
    </w:rPr>
  </w:style>
  <w:style w:type="character" w:styleId="CommentReference">
    <w:name w:val="annotation reference"/>
    <w:basedOn w:val="DefaultParagraphFont"/>
    <w:uiPriority w:val="99"/>
    <w:semiHidden/>
    <w:unhideWhenUsed/>
    <w:rsid w:val="0085516A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5516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5516A"/>
    <w:rPr>
      <w:rFonts w:eastAsiaTheme="minorEastAsia"/>
      <w:b/>
      <w:bCs/>
      <w:sz w:val="20"/>
      <w:szCs w:val="20"/>
      <w:lang w:eastAsia="zh-C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5516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516A"/>
    <w:rPr>
      <w:rFonts w:ascii="Segoe UI" w:eastAsiaTheme="minorEastAsia" w:hAnsi="Segoe UI" w:cs="Segoe UI"/>
      <w:sz w:val="18"/>
      <w:szCs w:val="18"/>
      <w:lang w:eastAsia="zh-CN"/>
    </w:rPr>
  </w:style>
  <w:style w:type="paragraph" w:styleId="Revision">
    <w:name w:val="Revision"/>
    <w:hidden/>
    <w:uiPriority w:val="99"/>
    <w:semiHidden/>
    <w:rsid w:val="000706F3"/>
    <w:pPr>
      <w:spacing w:after="0" w:line="240" w:lineRule="auto"/>
    </w:pPr>
    <w:rPr>
      <w:rFonts w:eastAsiaTheme="minorEastAsia"/>
      <w:lang w:eastAsia="zh-CN"/>
    </w:rPr>
  </w:style>
  <w:style w:type="paragraph" w:styleId="Header">
    <w:name w:val="header"/>
    <w:basedOn w:val="Normal"/>
    <w:link w:val="HeaderChar"/>
    <w:uiPriority w:val="99"/>
    <w:unhideWhenUsed/>
    <w:rsid w:val="00AB3E3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B3E39"/>
    <w:rPr>
      <w:rFonts w:eastAsiaTheme="minorEastAsia"/>
      <w:lang w:eastAsia="zh-CN"/>
    </w:rPr>
  </w:style>
  <w:style w:type="paragraph" w:styleId="Footer">
    <w:name w:val="footer"/>
    <w:basedOn w:val="Normal"/>
    <w:link w:val="FooterChar"/>
    <w:uiPriority w:val="99"/>
    <w:unhideWhenUsed/>
    <w:rsid w:val="00AB3E3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B3E39"/>
    <w:rPr>
      <w:rFonts w:eastAsiaTheme="minorEastAsia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chart" Target="charts/chart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file:///\\uofa\users$\users4\a1062824\Active%20PhD%20Files\Chapter%201%20Timber%20Tracking%20Review\New%20manuscript\Manuscript%20docs\Manuscript%20Data%20and%20Figures%20210917.xlsx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scatterChart>
        <c:scatterStyle val="lineMarker"/>
        <c:varyColors val="0"/>
        <c:ser>
          <c:idx val="0"/>
          <c:order val="0"/>
          <c:tx>
            <c:strRef>
              <c:f>'Fig 5'!$C$7</c:f>
              <c:strCache>
                <c:ptCount val="1"/>
                <c:pt idx="0">
                  <c:v>New taxa</c:v>
                </c:pt>
              </c:strCache>
            </c:strRef>
          </c:tx>
          <c:spPr>
            <a:ln w="25400" cap="rnd">
              <a:noFill/>
              <a:round/>
            </a:ln>
            <a:effectLst/>
          </c:spPr>
          <c:marker>
            <c:symbol val="circle"/>
            <c:size val="5"/>
            <c:spPr>
              <a:solidFill>
                <a:schemeClr val="accent1"/>
              </a:solidFill>
              <a:ln w="9525">
                <a:solidFill>
                  <a:schemeClr val="accent1"/>
                </a:solidFill>
              </a:ln>
              <a:effectLst/>
            </c:spPr>
          </c:marker>
          <c:trendline>
            <c:spPr>
              <a:ln w="19050" cap="rnd">
                <a:solidFill>
                  <a:schemeClr val="accent1"/>
                </a:solidFill>
                <a:prstDash val="sysDot"/>
              </a:ln>
              <a:effectLst/>
            </c:spPr>
            <c:trendlineType val="linear"/>
            <c:dispRSqr val="0"/>
            <c:dispEq val="1"/>
            <c:trendlineLbl>
              <c:layout>
                <c:manualLayout>
                  <c:x val="7.1903443670088439E-3"/>
                  <c:y val="-5.617283133725931E-2"/>
                </c:manualLayout>
              </c:layout>
              <c:tx>
                <c:rich>
                  <a:bodyPr rot="0" spcFirstLastPara="1" vertOverflow="ellipsis" vert="horz" wrap="square" anchor="ctr" anchorCtr="1"/>
                  <a:lstStyle/>
                  <a:p>
                    <a:pPr>
                      <a:defRPr sz="900" b="0" i="0" u="none" strike="noStrike" kern="1200" baseline="0">
                        <a:solidFill>
                          <a:sysClr val="windowText" lastClr="000000"/>
                        </a:solidFill>
                        <a:latin typeface="+mn-lt"/>
                        <a:ea typeface="+mn-ea"/>
                        <a:cs typeface="+mn-cs"/>
                      </a:defRPr>
                    </a:pPr>
                    <a:r>
                      <a:rPr lang="nl-NL" i="1" baseline="0"/>
                      <a:t>y</a:t>
                    </a:r>
                    <a:r>
                      <a:rPr lang="nl-NL" baseline="0"/>
                      <a:t> = 0.2302</a:t>
                    </a:r>
                    <a:r>
                      <a:rPr lang="nl-NL" i="1" baseline="0"/>
                      <a:t>x</a:t>
                    </a:r>
                    <a:r>
                      <a:rPr lang="nl-NL" baseline="0"/>
                      <a:t> + 0.6285</a:t>
                    </a:r>
                    <a:endParaRPr lang="nl-NL"/>
                  </a:p>
                </c:rich>
              </c:tx>
              <c:numFmt formatCode="General" sourceLinked="0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anchor="ctr" anchorCtr="1"/>
                <a:lstStyle/>
                <a:p>
                  <a:pPr>
                    <a:defRPr sz="900" b="0" i="0" u="none" strike="noStrike" kern="1200" baseline="0">
                      <a:solidFill>
                        <a:sysClr val="windowText" lastClr="000000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nl-NL"/>
                </a:p>
              </c:txPr>
            </c:trendlineLbl>
          </c:trendline>
          <c:xVal>
            <c:numRef>
              <c:f>'Fig 5'!$B$8:$B$30</c:f>
              <c:numCache>
                <c:formatCode>General</c:formatCode>
                <c:ptCount val="23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  <c:pt idx="5">
                  <c:v>6</c:v>
                </c:pt>
                <c:pt idx="6">
                  <c:v>7</c:v>
                </c:pt>
                <c:pt idx="7">
                  <c:v>8</c:v>
                </c:pt>
                <c:pt idx="8">
                  <c:v>9</c:v>
                </c:pt>
                <c:pt idx="9">
                  <c:v>10</c:v>
                </c:pt>
                <c:pt idx="10">
                  <c:v>11</c:v>
                </c:pt>
                <c:pt idx="11">
                  <c:v>12</c:v>
                </c:pt>
                <c:pt idx="12">
                  <c:v>13</c:v>
                </c:pt>
                <c:pt idx="13">
                  <c:v>14</c:v>
                </c:pt>
                <c:pt idx="14">
                  <c:v>15</c:v>
                </c:pt>
                <c:pt idx="15">
                  <c:v>16</c:v>
                </c:pt>
                <c:pt idx="16">
                  <c:v>17</c:v>
                </c:pt>
                <c:pt idx="17">
                  <c:v>18</c:v>
                </c:pt>
                <c:pt idx="18">
                  <c:v>19</c:v>
                </c:pt>
                <c:pt idx="19">
                  <c:v>20</c:v>
                </c:pt>
                <c:pt idx="20">
                  <c:v>21</c:v>
                </c:pt>
                <c:pt idx="21">
                  <c:v>22</c:v>
                </c:pt>
                <c:pt idx="22">
                  <c:v>23</c:v>
                </c:pt>
              </c:numCache>
            </c:numRef>
          </c:xVal>
          <c:yVal>
            <c:numRef>
              <c:f>'Fig 5'!$C$8:$C$30</c:f>
              <c:numCache>
                <c:formatCode>General</c:formatCode>
                <c:ptCount val="23"/>
                <c:pt idx="0">
                  <c:v>1</c:v>
                </c:pt>
                <c:pt idx="1">
                  <c:v>1</c:v>
                </c:pt>
                <c:pt idx="2">
                  <c:v>1</c:v>
                </c:pt>
                <c:pt idx="3">
                  <c:v>1</c:v>
                </c:pt>
                <c:pt idx="4">
                  <c:v>2</c:v>
                </c:pt>
                <c:pt idx="5">
                  <c:v>2</c:v>
                </c:pt>
                <c:pt idx="6">
                  <c:v>1</c:v>
                </c:pt>
                <c:pt idx="7">
                  <c:v>1</c:v>
                </c:pt>
                <c:pt idx="8">
                  <c:v>4</c:v>
                </c:pt>
                <c:pt idx="9">
                  <c:v>1</c:v>
                </c:pt>
                <c:pt idx="10">
                  <c:v>4</c:v>
                </c:pt>
                <c:pt idx="11">
                  <c:v>8</c:v>
                </c:pt>
                <c:pt idx="12">
                  <c:v>4</c:v>
                </c:pt>
                <c:pt idx="13">
                  <c:v>2</c:v>
                </c:pt>
                <c:pt idx="14">
                  <c:v>6</c:v>
                </c:pt>
                <c:pt idx="15">
                  <c:v>10</c:v>
                </c:pt>
                <c:pt idx="16">
                  <c:v>0</c:v>
                </c:pt>
                <c:pt idx="17">
                  <c:v>2</c:v>
                </c:pt>
                <c:pt idx="18">
                  <c:v>3</c:v>
                </c:pt>
                <c:pt idx="19">
                  <c:v>8</c:v>
                </c:pt>
                <c:pt idx="20">
                  <c:v>1</c:v>
                </c:pt>
                <c:pt idx="21">
                  <c:v>13</c:v>
                </c:pt>
                <c:pt idx="22">
                  <c:v>2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0-5C98-47A3-8C3A-6020BFFE04C4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408058864"/>
        <c:axId val="1408060496"/>
      </c:scatterChart>
      <c:valAx>
        <c:axId val="1408058864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AU"/>
                  <a:t>Years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ysClr val="windowText" lastClr="000000"/>
                  </a:solidFill>
                  <a:latin typeface="+mn-lt"/>
                  <a:ea typeface="+mn-ea"/>
                  <a:cs typeface="+mn-cs"/>
                </a:defRPr>
              </a:pPr>
              <a:endParaRPr lang="nl-NL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nl-NL"/>
          </a:p>
        </c:txPr>
        <c:crossAx val="1408060496"/>
        <c:crosses val="autoZero"/>
        <c:crossBetween val="midCat"/>
      </c:valAx>
      <c:valAx>
        <c:axId val="1408060496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/>
                  <a:t>Taxa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ysClr val="windowText" lastClr="000000"/>
                  </a:solidFill>
                  <a:latin typeface="+mn-lt"/>
                  <a:ea typeface="+mn-ea"/>
                  <a:cs typeface="+mn-cs"/>
                </a:defRPr>
              </a:pPr>
              <a:endParaRPr lang="nl-NL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nl-NL"/>
          </a:p>
        </c:txPr>
        <c:crossAx val="1408058864"/>
        <c:crosses val="autoZero"/>
        <c:crossBetween val="midCat"/>
      </c:valAx>
      <c:spPr>
        <a:noFill/>
        <a:ln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>
          <a:solidFill>
            <a:sysClr val="windowText" lastClr="000000"/>
          </a:solidFill>
        </a:defRPr>
      </a:pPr>
      <a:endParaRPr lang="nl-NL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40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19050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</Words>
  <Characters>250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University of Adelaide</Company>
  <LinksUpToDate>false</LinksUpToDate>
  <CharactersWithSpaces>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Melita Caroline Low</dc:creator>
  <cp:keywords/>
  <dc:description/>
  <cp:lastModifiedBy>Marc Jarmuszewski</cp:lastModifiedBy>
  <cp:revision>6</cp:revision>
  <dcterms:created xsi:type="dcterms:W3CDTF">2021-09-17T06:46:00Z</dcterms:created>
  <dcterms:modified xsi:type="dcterms:W3CDTF">2022-07-08T08:27:00Z</dcterms:modified>
</cp:coreProperties>
</file>