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3FFF" w14:textId="0CF5BFD9" w:rsidR="00117B42" w:rsidRPr="00832C4C" w:rsidRDefault="00832C4C" w:rsidP="00832C4C">
      <w:pPr>
        <w:widowControl w:val="0"/>
        <w:spacing w:line="480" w:lineRule="auto"/>
        <w:ind w:left="0" w:hanging="2"/>
        <w:jc w:val="center"/>
        <w:rPr>
          <w:bCs/>
          <w:sz w:val="24"/>
          <w:szCs w:val="24"/>
        </w:rPr>
      </w:pPr>
      <w:r w:rsidRPr="00832C4C">
        <w:rPr>
          <w:bCs/>
          <w:sz w:val="24"/>
          <w:szCs w:val="24"/>
        </w:rPr>
        <w:t>APPENDIX E</w:t>
      </w:r>
    </w:p>
    <w:p w14:paraId="3338E3F6" w14:textId="2D07C002" w:rsidR="00117B42" w:rsidRDefault="00117B42" w:rsidP="00117B42">
      <w:pPr>
        <w:widowControl w:val="0"/>
        <w:spacing w:line="480" w:lineRule="auto"/>
        <w:ind w:left="0" w:hanging="2"/>
        <w:rPr>
          <w:b/>
          <w:sz w:val="24"/>
          <w:szCs w:val="24"/>
        </w:rPr>
      </w:pPr>
      <w:r w:rsidRPr="000D0E22">
        <w:rPr>
          <w:b/>
          <w:sz w:val="24"/>
          <w:szCs w:val="24"/>
        </w:rPr>
        <w:t xml:space="preserve"> </w:t>
      </w:r>
      <w:r w:rsidR="00B84F70">
        <w:rPr>
          <w:b/>
          <w:noProof/>
          <w:sz w:val="24"/>
          <w:szCs w:val="24"/>
        </w:rPr>
        <w:drawing>
          <wp:inline distT="0" distB="0" distL="0" distR="0" wp14:anchorId="1D5DEA8A" wp14:editId="0A68AA9C">
            <wp:extent cx="5085715" cy="4933950"/>
            <wp:effectExtent l="0" t="0" r="635" b="0"/>
            <wp:docPr id="4" name="Imagem 4" descr="Gráfico, Histo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Gráfico, Histograma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" t="6191" b="7129"/>
                    <a:stretch/>
                  </pic:blipFill>
                  <pic:spPr bwMode="auto">
                    <a:xfrm>
                      <a:off x="0" y="0"/>
                      <a:ext cx="5085715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A9AB0" w14:textId="01F14240" w:rsidR="009E0291" w:rsidRDefault="00E16D10" w:rsidP="006361CD">
      <w:pPr>
        <w:widowControl w:val="0"/>
        <w:spacing w:line="48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Fig. E1. </w:t>
      </w:r>
      <w:r w:rsidR="009E0291" w:rsidRPr="009E0291">
        <w:rPr>
          <w:sz w:val="24"/>
          <w:szCs w:val="24"/>
        </w:rPr>
        <w:t xml:space="preserve">Kaiser–Guttman </w:t>
      </w:r>
      <w:r w:rsidR="009E0291">
        <w:rPr>
          <w:sz w:val="24"/>
          <w:szCs w:val="24"/>
        </w:rPr>
        <w:t xml:space="preserve">(A) </w:t>
      </w:r>
      <w:r w:rsidR="009E0291" w:rsidRPr="009E0291">
        <w:rPr>
          <w:sz w:val="24"/>
          <w:szCs w:val="24"/>
        </w:rPr>
        <w:t>and broken-stick</w:t>
      </w:r>
      <w:r w:rsidR="009E0291">
        <w:rPr>
          <w:sz w:val="24"/>
          <w:szCs w:val="24"/>
        </w:rPr>
        <w:t xml:space="preserve"> (B)</w:t>
      </w:r>
      <w:r w:rsidR="009E0291" w:rsidRPr="009E0291">
        <w:rPr>
          <w:sz w:val="24"/>
          <w:szCs w:val="24"/>
        </w:rPr>
        <w:t xml:space="preserve"> plots to assess the number of interpretable axes</w:t>
      </w:r>
      <w:r w:rsidR="006361CD">
        <w:rPr>
          <w:sz w:val="24"/>
          <w:szCs w:val="24"/>
        </w:rPr>
        <w:t xml:space="preserve"> </w:t>
      </w:r>
      <w:r w:rsidR="009E0291" w:rsidRPr="009E0291">
        <w:rPr>
          <w:sz w:val="24"/>
          <w:szCs w:val="24"/>
        </w:rPr>
        <w:t>in PCA</w:t>
      </w:r>
      <w:r w:rsidR="009E0291">
        <w:rPr>
          <w:sz w:val="24"/>
          <w:szCs w:val="24"/>
        </w:rPr>
        <w:t xml:space="preserve"> of </w:t>
      </w:r>
      <w:r w:rsidR="00C17D5E">
        <w:rPr>
          <w:i/>
          <w:iCs/>
          <w:sz w:val="24"/>
          <w:szCs w:val="24"/>
        </w:rPr>
        <w:t>Zanthoxylum rhoifolium</w:t>
      </w:r>
      <w:r w:rsidR="009E0291" w:rsidRPr="009E0291">
        <w:rPr>
          <w:sz w:val="24"/>
          <w:szCs w:val="24"/>
        </w:rPr>
        <w:t xml:space="preserve">. </w:t>
      </w:r>
    </w:p>
    <w:p w14:paraId="232144FB" w14:textId="4E600DE0" w:rsidR="009E0291" w:rsidRDefault="009E0291" w:rsidP="009E0291">
      <w:pPr>
        <w:widowControl w:val="0"/>
        <w:spacing w:line="480" w:lineRule="auto"/>
        <w:ind w:left="0" w:hanging="2"/>
        <w:jc w:val="both"/>
        <w:rPr>
          <w:sz w:val="24"/>
          <w:szCs w:val="24"/>
        </w:rPr>
      </w:pPr>
    </w:p>
    <w:p w14:paraId="56012929" w14:textId="61E9923B" w:rsidR="009E0291" w:rsidRPr="00E16D10" w:rsidRDefault="00E16D10" w:rsidP="00E16D10">
      <w:pPr>
        <w:widowControl w:val="0"/>
        <w:spacing w:line="480" w:lineRule="auto"/>
        <w:ind w:left="0" w:hanging="2"/>
        <w:jc w:val="center"/>
        <w:rPr>
          <w:sz w:val="24"/>
          <w:szCs w:val="24"/>
        </w:rPr>
      </w:pPr>
      <w:r w:rsidRPr="00E16D10">
        <w:rPr>
          <w:sz w:val="24"/>
          <w:szCs w:val="24"/>
        </w:rPr>
        <w:t>COMMENTS</w:t>
      </w:r>
    </w:p>
    <w:p w14:paraId="4CBA151E" w14:textId="1E39F7C0" w:rsidR="009E0291" w:rsidRPr="00B84F70" w:rsidRDefault="009E0291" w:rsidP="006361CD">
      <w:pPr>
        <w:pStyle w:val="ListParagraph"/>
        <w:widowControl w:val="0"/>
        <w:numPr>
          <w:ilvl w:val="0"/>
          <w:numId w:val="1"/>
        </w:numPr>
        <w:spacing w:line="480" w:lineRule="auto"/>
        <w:ind w:leftChars="0" w:left="0" w:firstLineChars="0" w:firstLine="284"/>
        <w:rPr>
          <w:sz w:val="24"/>
          <w:szCs w:val="24"/>
        </w:rPr>
      </w:pPr>
      <w:r w:rsidRPr="00B84F70">
        <w:rPr>
          <w:sz w:val="24"/>
          <w:szCs w:val="24"/>
        </w:rPr>
        <w:t xml:space="preserve">The Kaiser–Guttman criterion consists in estimating the mean eigenvalues of all axes and considering only the axes whose eigenvalues are higher than that mean. </w:t>
      </w:r>
      <w:r w:rsidR="00831AF2" w:rsidRPr="00B84F70">
        <w:rPr>
          <w:sz w:val="24"/>
          <w:szCs w:val="24"/>
        </w:rPr>
        <w:t>Thus, fo</w:t>
      </w:r>
      <w:r w:rsidRPr="00B84F70">
        <w:rPr>
          <w:sz w:val="24"/>
          <w:szCs w:val="24"/>
        </w:rPr>
        <w:t xml:space="preserve">r </w:t>
      </w:r>
      <w:r w:rsidR="00C17D5E" w:rsidRPr="00B84F70">
        <w:rPr>
          <w:i/>
          <w:iCs/>
          <w:sz w:val="24"/>
          <w:szCs w:val="24"/>
        </w:rPr>
        <w:t>Z. rhoifolium</w:t>
      </w:r>
      <w:r w:rsidRPr="00B84F70">
        <w:rPr>
          <w:sz w:val="24"/>
          <w:szCs w:val="24"/>
        </w:rPr>
        <w:t>, the first five axes should be interpreted in the PCA.</w:t>
      </w:r>
    </w:p>
    <w:p w14:paraId="59065DB9" w14:textId="29A64DA6" w:rsidR="00831AF2" w:rsidRDefault="009E0291" w:rsidP="006361CD">
      <w:pPr>
        <w:pStyle w:val="ListParagraph"/>
        <w:widowControl w:val="0"/>
        <w:numPr>
          <w:ilvl w:val="0"/>
          <w:numId w:val="1"/>
        </w:numPr>
        <w:spacing w:line="480" w:lineRule="auto"/>
        <w:ind w:leftChars="0" w:left="0" w:firstLineChars="0" w:firstLine="284"/>
        <w:rPr>
          <w:sz w:val="24"/>
          <w:szCs w:val="24"/>
        </w:rPr>
      </w:pPr>
      <w:r w:rsidRPr="00831AF2">
        <w:rPr>
          <w:sz w:val="24"/>
          <w:szCs w:val="24"/>
        </w:rPr>
        <w:t>The broken stick model criterion consists in randomly divide a stick of unit length into the same number of pieces as there are PCA axes</w:t>
      </w:r>
      <w:r w:rsidR="00831AF2" w:rsidRPr="00831AF2">
        <w:rPr>
          <w:sz w:val="24"/>
          <w:szCs w:val="24"/>
        </w:rPr>
        <w:t>, then t</w:t>
      </w:r>
      <w:r w:rsidRPr="00831AF2">
        <w:rPr>
          <w:sz w:val="24"/>
          <w:szCs w:val="24"/>
        </w:rPr>
        <w:t>he pieces are</w:t>
      </w:r>
      <w:r w:rsidR="00831AF2" w:rsidRPr="00831AF2">
        <w:rPr>
          <w:sz w:val="24"/>
          <w:szCs w:val="24"/>
        </w:rPr>
        <w:t xml:space="preserve"> organized </w:t>
      </w:r>
      <w:r w:rsidRPr="00831AF2">
        <w:rPr>
          <w:sz w:val="24"/>
          <w:szCs w:val="24"/>
        </w:rPr>
        <w:t>in order of</w:t>
      </w:r>
      <w:r w:rsidR="00831AF2" w:rsidRPr="00831AF2">
        <w:rPr>
          <w:sz w:val="24"/>
          <w:szCs w:val="24"/>
        </w:rPr>
        <w:t xml:space="preserve"> </w:t>
      </w:r>
      <w:r w:rsidRPr="00831AF2">
        <w:rPr>
          <w:sz w:val="24"/>
          <w:szCs w:val="24"/>
        </w:rPr>
        <w:t>decreasing length</w:t>
      </w:r>
      <w:r w:rsidR="00831AF2" w:rsidRPr="00831AF2">
        <w:rPr>
          <w:sz w:val="24"/>
          <w:szCs w:val="24"/>
        </w:rPr>
        <w:t xml:space="preserve">. These pieces are </w:t>
      </w:r>
      <w:r w:rsidRPr="00831AF2">
        <w:rPr>
          <w:sz w:val="24"/>
          <w:szCs w:val="24"/>
        </w:rPr>
        <w:t>compared to the eigenvalues</w:t>
      </w:r>
      <w:r w:rsidR="00831AF2" w:rsidRPr="00831AF2">
        <w:rPr>
          <w:sz w:val="24"/>
          <w:szCs w:val="24"/>
        </w:rPr>
        <w:t xml:space="preserve"> e </w:t>
      </w:r>
      <w:r w:rsidR="00831AF2" w:rsidRPr="00831AF2">
        <w:rPr>
          <w:sz w:val="24"/>
          <w:szCs w:val="24"/>
        </w:rPr>
        <w:lastRenderedPageBreak/>
        <w:t>the axes that should be interpreted a</w:t>
      </w:r>
      <w:r w:rsidR="00831AF2" w:rsidRPr="00B84F70">
        <w:rPr>
          <w:sz w:val="24"/>
          <w:szCs w:val="24"/>
        </w:rPr>
        <w:t xml:space="preserve">re those </w:t>
      </w:r>
      <w:r w:rsidRPr="00B84F70">
        <w:rPr>
          <w:sz w:val="24"/>
          <w:szCs w:val="24"/>
        </w:rPr>
        <w:t xml:space="preserve">whose eigenvalues are </w:t>
      </w:r>
      <w:r w:rsidR="00831AF2" w:rsidRPr="00B84F70">
        <w:rPr>
          <w:sz w:val="24"/>
          <w:szCs w:val="24"/>
        </w:rPr>
        <w:t xml:space="preserve">higher </w:t>
      </w:r>
      <w:r w:rsidRPr="00B84F70">
        <w:rPr>
          <w:sz w:val="24"/>
          <w:szCs w:val="24"/>
        </w:rPr>
        <w:t>than the length of the corresponding piece of the stick.</w:t>
      </w:r>
      <w:r w:rsidR="00831AF2" w:rsidRPr="00B84F70">
        <w:rPr>
          <w:sz w:val="24"/>
          <w:szCs w:val="24"/>
        </w:rPr>
        <w:t xml:space="preserve"> Thus, for </w:t>
      </w:r>
      <w:r w:rsidR="00C17D5E" w:rsidRPr="00B84F70">
        <w:rPr>
          <w:i/>
          <w:iCs/>
          <w:sz w:val="24"/>
          <w:szCs w:val="24"/>
        </w:rPr>
        <w:t>Z. rhoifolium</w:t>
      </w:r>
      <w:r w:rsidR="00831AF2" w:rsidRPr="00B84F70">
        <w:rPr>
          <w:sz w:val="24"/>
          <w:szCs w:val="24"/>
        </w:rPr>
        <w:t xml:space="preserve">, the </w:t>
      </w:r>
      <w:r w:rsidR="00375956">
        <w:rPr>
          <w:sz w:val="24"/>
          <w:szCs w:val="24"/>
        </w:rPr>
        <w:t xml:space="preserve">first </w:t>
      </w:r>
      <w:r w:rsidR="00B84F70" w:rsidRPr="00B84F70">
        <w:rPr>
          <w:sz w:val="24"/>
          <w:szCs w:val="24"/>
        </w:rPr>
        <w:t>four</w:t>
      </w:r>
      <w:r w:rsidR="00831AF2" w:rsidRPr="00B84F70">
        <w:rPr>
          <w:sz w:val="24"/>
          <w:szCs w:val="24"/>
        </w:rPr>
        <w:t xml:space="preserve"> axes should be interpreted in the PCA.</w:t>
      </w:r>
    </w:p>
    <w:p w14:paraId="77EDA7FC" w14:textId="10DA15A9" w:rsidR="00D627BB" w:rsidRDefault="00831AF2" w:rsidP="006361CD">
      <w:pPr>
        <w:pStyle w:val="ListParagraph"/>
        <w:widowControl w:val="0"/>
        <w:numPr>
          <w:ilvl w:val="0"/>
          <w:numId w:val="1"/>
        </w:numPr>
        <w:spacing w:line="480" w:lineRule="auto"/>
        <w:ind w:leftChars="0" w:left="0" w:firstLineChars="0" w:firstLine="284"/>
        <w:rPr>
          <w:sz w:val="24"/>
          <w:szCs w:val="24"/>
        </w:rPr>
      </w:pPr>
      <w:r>
        <w:rPr>
          <w:sz w:val="24"/>
          <w:szCs w:val="24"/>
        </w:rPr>
        <w:t xml:space="preserve">Both criteria were </w:t>
      </w:r>
      <w:r w:rsidRPr="00831AF2">
        <w:rPr>
          <w:sz w:val="24"/>
          <w:szCs w:val="24"/>
        </w:rPr>
        <w:t xml:space="preserve">performed using the script provided by Borcard </w:t>
      </w:r>
      <w:r w:rsidRPr="00831AF2">
        <w:rPr>
          <w:i/>
          <w:iCs/>
          <w:sz w:val="24"/>
          <w:szCs w:val="24"/>
        </w:rPr>
        <w:t>et al.</w:t>
      </w:r>
      <w:r w:rsidRPr="00831AF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31AF2">
        <w:rPr>
          <w:sz w:val="24"/>
          <w:szCs w:val="24"/>
        </w:rPr>
        <w:t>2011).</w:t>
      </w:r>
    </w:p>
    <w:p w14:paraId="197D9F55" w14:textId="5D1B0B6A" w:rsidR="0051596D" w:rsidRDefault="0051596D" w:rsidP="0051596D">
      <w:pPr>
        <w:widowControl w:val="0"/>
        <w:spacing w:line="480" w:lineRule="auto"/>
        <w:ind w:leftChars="0" w:left="0" w:firstLineChars="0" w:firstLine="0"/>
        <w:rPr>
          <w:sz w:val="24"/>
          <w:szCs w:val="24"/>
        </w:rPr>
      </w:pPr>
    </w:p>
    <w:p w14:paraId="7191C276" w14:textId="1ECBF560" w:rsidR="0051596D" w:rsidRPr="0051596D" w:rsidRDefault="0051596D" w:rsidP="0051596D">
      <w:pPr>
        <w:widowControl w:val="0"/>
        <w:spacing w:line="480" w:lineRule="auto"/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REFERENCE</w:t>
      </w:r>
    </w:p>
    <w:p w14:paraId="151249E0" w14:textId="2E57C8F9" w:rsidR="004476EE" w:rsidRDefault="00831AF2" w:rsidP="0051596D">
      <w:pPr>
        <w:widowControl w:val="0"/>
        <w:spacing w:line="480" w:lineRule="auto"/>
        <w:ind w:leftChars="0" w:left="0" w:firstLineChars="0" w:firstLine="0"/>
      </w:pPr>
      <w:r w:rsidRPr="00831AF2">
        <w:rPr>
          <w:sz w:val="24"/>
          <w:szCs w:val="24"/>
        </w:rPr>
        <w:t>Borcard D, Gillet F, Legendre P. 2011. Numerical Ecology with R. Springer</w:t>
      </w:r>
      <w:r w:rsidR="00AF0CE9">
        <w:rPr>
          <w:sz w:val="24"/>
          <w:szCs w:val="24"/>
        </w:rPr>
        <w:t>, Berlin</w:t>
      </w:r>
      <w:r w:rsidRPr="00831AF2">
        <w:rPr>
          <w:sz w:val="24"/>
          <w:szCs w:val="24"/>
        </w:rPr>
        <w:t>. DOI 10.1007/978-1-4419-7976-6</w:t>
      </w:r>
    </w:p>
    <w:sectPr w:rsidR="00447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4A32"/>
    <w:multiLevelType w:val="hybridMultilevel"/>
    <w:tmpl w:val="38A8E36C"/>
    <w:lvl w:ilvl="0" w:tplc="E38068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NjM2MTAzMzMytTRU0lEKTi0uzszPAykwrAUAgbqzfywAAAA="/>
  </w:docVars>
  <w:rsids>
    <w:rsidRoot w:val="00117B42"/>
    <w:rsid w:val="00117B42"/>
    <w:rsid w:val="00273386"/>
    <w:rsid w:val="002979F7"/>
    <w:rsid w:val="002C6A06"/>
    <w:rsid w:val="00375956"/>
    <w:rsid w:val="004476EE"/>
    <w:rsid w:val="0051596D"/>
    <w:rsid w:val="00556AF3"/>
    <w:rsid w:val="006361CD"/>
    <w:rsid w:val="007066C3"/>
    <w:rsid w:val="0079045D"/>
    <w:rsid w:val="00831AF2"/>
    <w:rsid w:val="00832C4C"/>
    <w:rsid w:val="00871277"/>
    <w:rsid w:val="00916DC6"/>
    <w:rsid w:val="009A45D5"/>
    <w:rsid w:val="009E0291"/>
    <w:rsid w:val="00A03BC0"/>
    <w:rsid w:val="00A80208"/>
    <w:rsid w:val="00AF0CE9"/>
    <w:rsid w:val="00B84F70"/>
    <w:rsid w:val="00C17D5E"/>
    <w:rsid w:val="00D627BB"/>
    <w:rsid w:val="00DA12E5"/>
    <w:rsid w:val="00E16D10"/>
    <w:rsid w:val="00E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331F"/>
  <w15:chartTrackingRefBased/>
  <w15:docId w15:val="{7913939F-3870-4794-AC30-A8C00C19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B42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Blagitz</dc:creator>
  <cp:keywords/>
  <dc:description/>
  <cp:lastModifiedBy>Marc Jarmuszewski</cp:lastModifiedBy>
  <cp:revision>10</cp:revision>
  <dcterms:created xsi:type="dcterms:W3CDTF">2021-09-03T15:12:00Z</dcterms:created>
  <dcterms:modified xsi:type="dcterms:W3CDTF">2021-10-29T08:55:00Z</dcterms:modified>
</cp:coreProperties>
</file>